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Melton and Syston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Melton and Syston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Melton and Syston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Melton and Syston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Melton and Syston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Melton and Syston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Melton and Syston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Melton and Syston is estimated to be </w:t>
      </w:r>
      <w:r w:rsidRPr="00773DF7">
        <w:rPr>
          <w:rFonts w:ascii="Libre Franklin Light" w:eastAsia="Times New Roman" w:hAnsi="Libre Franklin Light" w:cs="Calibri Light"/>
          <w:b/>
          <w:bCs/>
          <w:color w:val="C45911" w:themeColor="accent2" w:themeShade="BF"/>
        </w:rPr>
        <w:t xml:space="preserve">£1,040,523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Melton and Syston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Melton and Syston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Melton and Syston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Melton and Syston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elton and Sys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Melton and Syston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elton and Sys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Melton and Syston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Melton and Syston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elton and Sys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Melton and Syston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Melton and Syston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Melton and Syston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Melton and Syston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Melton and Syston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Melton and Syston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£1,040,523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Melton and Syston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£16,948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£350,503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£25,109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£12,947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£627,954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£1,040,523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Melton and Syston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Melton and Syston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Melton and Syston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Melton and Syston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Melton and Syston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Melton and Syston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Melton and Syston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Melton and Syston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Melton and Syston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Melton and Syston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Melton and Syston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Melton and Syston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BBBB844-3626-43EE-BBBE-AFD7F1B8F95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